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E7F0" w14:textId="77777777" w:rsidR="00676628" w:rsidRPr="007834D8" w:rsidRDefault="00676628" w:rsidP="007834D8">
      <w:pPr>
        <w:pStyle w:val="Heading1"/>
        <w:spacing w:before="0" w:after="0"/>
        <w:jc w:val="center"/>
        <w:rPr>
          <w:rFonts w:cs="Times New Roman"/>
          <w:sz w:val="22"/>
          <w:szCs w:val="22"/>
        </w:rPr>
      </w:pPr>
      <w:r w:rsidRPr="007834D8">
        <w:rPr>
          <w:rFonts w:cs="Times New Roman"/>
          <w:sz w:val="22"/>
          <w:szCs w:val="22"/>
        </w:rPr>
        <w:t>Visiting Research Fellow: GCC Energy Policy and Economics</w:t>
      </w:r>
    </w:p>
    <w:p w14:paraId="01749A9D" w14:textId="77777777" w:rsidR="004A502C" w:rsidRDefault="004A502C" w:rsidP="007834D8">
      <w:pPr>
        <w:jc w:val="both"/>
        <w:rPr>
          <w:rFonts w:ascii="Arial" w:eastAsiaTheme="minorEastAsia" w:hAnsi="Arial" w:cs="Arial"/>
          <w:sz w:val="26"/>
          <w:szCs w:val="26"/>
          <w:lang w:val="en-US"/>
        </w:rPr>
      </w:pPr>
    </w:p>
    <w:p w14:paraId="715C23E4" w14:textId="16B4EF32" w:rsidR="007834D8" w:rsidRDefault="007834D8" w:rsidP="007834D8">
      <w:pPr>
        <w:jc w:val="both"/>
        <w:rPr>
          <w:sz w:val="22"/>
          <w:szCs w:val="22"/>
        </w:rPr>
      </w:pPr>
      <w:r w:rsidRPr="007834D8">
        <w:rPr>
          <w:sz w:val="22"/>
          <w:szCs w:val="22"/>
        </w:rPr>
        <w:t>The Oxford Institute for Energy Studies</w:t>
      </w:r>
      <w:r w:rsidR="00F42A0D">
        <w:rPr>
          <w:sz w:val="22"/>
          <w:szCs w:val="22"/>
        </w:rPr>
        <w:t xml:space="preserve"> (OIES)</w:t>
      </w:r>
      <w:r w:rsidRPr="007834D8">
        <w:rPr>
          <w:sz w:val="22"/>
          <w:szCs w:val="22"/>
        </w:rPr>
        <w:t xml:space="preserve"> </w:t>
      </w:r>
      <w:r w:rsidR="00F42A0D">
        <w:rPr>
          <w:sz w:val="22"/>
          <w:szCs w:val="22"/>
        </w:rPr>
        <w:t>invites</w:t>
      </w:r>
      <w:r w:rsidR="00D1302A">
        <w:rPr>
          <w:sz w:val="22"/>
          <w:szCs w:val="22"/>
        </w:rPr>
        <w:t xml:space="preserve"> applications for</w:t>
      </w:r>
      <w:r w:rsidRPr="007834D8">
        <w:rPr>
          <w:sz w:val="22"/>
          <w:szCs w:val="22"/>
        </w:rPr>
        <w:t xml:space="preserve"> Visiting Research Fellows</w:t>
      </w:r>
      <w:r w:rsidR="00D1302A">
        <w:rPr>
          <w:sz w:val="22"/>
          <w:szCs w:val="22"/>
        </w:rPr>
        <w:t>hips</w:t>
      </w:r>
      <w:r w:rsidRPr="007834D8">
        <w:rPr>
          <w:sz w:val="22"/>
          <w:szCs w:val="22"/>
        </w:rPr>
        <w:t xml:space="preserve"> to work on short-term, self-directed studies on the energy policy, energy economics and the political economy of energy in the Gulf Cooperation Council (GCC) states</w:t>
      </w:r>
      <w:r>
        <w:rPr>
          <w:sz w:val="22"/>
          <w:szCs w:val="22"/>
        </w:rPr>
        <w:t xml:space="preserve">. </w:t>
      </w:r>
      <w:r w:rsidR="004A502C">
        <w:rPr>
          <w:sz w:val="22"/>
          <w:szCs w:val="22"/>
        </w:rPr>
        <w:t xml:space="preserve">The </w:t>
      </w:r>
      <w:r w:rsidR="005F66D2">
        <w:rPr>
          <w:sz w:val="22"/>
          <w:szCs w:val="22"/>
        </w:rPr>
        <w:t xml:space="preserve">Fellowship </w:t>
      </w:r>
      <w:r w:rsidR="00D1302A">
        <w:rPr>
          <w:sz w:val="22"/>
          <w:szCs w:val="22"/>
        </w:rPr>
        <w:t>aims</w:t>
      </w:r>
      <w:r w:rsidR="004A502C">
        <w:rPr>
          <w:sz w:val="22"/>
          <w:szCs w:val="22"/>
        </w:rPr>
        <w:t xml:space="preserve"> to enable </w:t>
      </w:r>
      <w:r w:rsidR="004A502C" w:rsidRPr="004A502C">
        <w:rPr>
          <w:rFonts w:eastAsiaTheme="minorEastAsia"/>
          <w:sz w:val="22"/>
          <w:szCs w:val="22"/>
        </w:rPr>
        <w:t xml:space="preserve">academics, researchers and practitioners to spend a period of </w:t>
      </w:r>
      <w:r w:rsidR="005F66D2">
        <w:rPr>
          <w:rFonts w:eastAsiaTheme="minorEastAsia"/>
          <w:sz w:val="22"/>
          <w:szCs w:val="22"/>
        </w:rPr>
        <w:t>time</w:t>
      </w:r>
      <w:r w:rsidR="005F66D2" w:rsidRPr="004A502C">
        <w:rPr>
          <w:rFonts w:eastAsiaTheme="minorEastAsia"/>
          <w:sz w:val="22"/>
          <w:szCs w:val="22"/>
        </w:rPr>
        <w:t xml:space="preserve"> </w:t>
      </w:r>
      <w:r w:rsidR="004A502C" w:rsidRPr="004A502C">
        <w:rPr>
          <w:rFonts w:eastAsiaTheme="minorEastAsia"/>
          <w:sz w:val="22"/>
          <w:szCs w:val="22"/>
        </w:rPr>
        <w:t xml:space="preserve">conducting </w:t>
      </w:r>
      <w:r w:rsidR="00D1302A">
        <w:rPr>
          <w:rFonts w:eastAsiaTheme="minorEastAsia"/>
          <w:sz w:val="22"/>
          <w:szCs w:val="22"/>
        </w:rPr>
        <w:t xml:space="preserve">specific </w:t>
      </w:r>
      <w:r w:rsidR="004A502C" w:rsidRPr="004A502C">
        <w:rPr>
          <w:rFonts w:eastAsiaTheme="minorEastAsia"/>
          <w:sz w:val="22"/>
          <w:szCs w:val="22"/>
        </w:rPr>
        <w:t xml:space="preserve">research </w:t>
      </w:r>
      <w:r w:rsidR="00D1302A">
        <w:rPr>
          <w:rFonts w:eastAsiaTheme="minorEastAsia"/>
          <w:sz w:val="22"/>
          <w:szCs w:val="22"/>
        </w:rPr>
        <w:t>at the Oxford Institute for Energy Studies</w:t>
      </w:r>
      <w:r w:rsidR="004A502C" w:rsidRPr="004A502C">
        <w:rPr>
          <w:rFonts w:eastAsiaTheme="minorEastAsia"/>
          <w:sz w:val="22"/>
          <w:szCs w:val="22"/>
        </w:rPr>
        <w:t>.</w:t>
      </w:r>
      <w:r w:rsidR="004A502C">
        <w:rPr>
          <w:sz w:val="22"/>
          <w:szCs w:val="22"/>
        </w:rPr>
        <w:t xml:space="preserve"> </w:t>
      </w:r>
      <w:r>
        <w:rPr>
          <w:sz w:val="22"/>
          <w:szCs w:val="22"/>
        </w:rPr>
        <w:t xml:space="preserve">The appointment is for </w:t>
      </w:r>
      <w:r w:rsidR="00D1302A">
        <w:rPr>
          <w:sz w:val="22"/>
          <w:szCs w:val="22"/>
        </w:rPr>
        <w:t>a period</w:t>
      </w:r>
      <w:r>
        <w:rPr>
          <w:sz w:val="22"/>
          <w:szCs w:val="22"/>
        </w:rPr>
        <w:t xml:space="preserve"> of up to </w:t>
      </w:r>
      <w:r w:rsidR="005F66D2">
        <w:rPr>
          <w:sz w:val="22"/>
          <w:szCs w:val="22"/>
        </w:rPr>
        <w:t xml:space="preserve">six </w:t>
      </w:r>
      <w:r>
        <w:rPr>
          <w:sz w:val="22"/>
          <w:szCs w:val="22"/>
        </w:rPr>
        <w:t>months during which</w:t>
      </w:r>
      <w:r w:rsidR="00D1302A">
        <w:rPr>
          <w:sz w:val="22"/>
          <w:szCs w:val="22"/>
        </w:rPr>
        <w:t xml:space="preserve"> time</w:t>
      </w:r>
      <w:r>
        <w:rPr>
          <w:sz w:val="22"/>
          <w:szCs w:val="22"/>
        </w:rPr>
        <w:t xml:space="preserve"> </w:t>
      </w:r>
      <w:r w:rsidR="004A502C">
        <w:rPr>
          <w:sz w:val="22"/>
          <w:szCs w:val="22"/>
        </w:rPr>
        <w:t>a pre-agreed project will be completed by the Visiting Research Fellow.</w:t>
      </w:r>
    </w:p>
    <w:p w14:paraId="76D9DE22" w14:textId="77777777" w:rsidR="007834D8" w:rsidRDefault="007834D8" w:rsidP="007834D8">
      <w:pPr>
        <w:jc w:val="both"/>
        <w:outlineLvl w:val="4"/>
        <w:rPr>
          <w:sz w:val="22"/>
          <w:szCs w:val="22"/>
        </w:rPr>
      </w:pPr>
    </w:p>
    <w:p w14:paraId="1F2BB0EB" w14:textId="77777777" w:rsidR="00676628" w:rsidRPr="007834D8" w:rsidRDefault="00676628" w:rsidP="007834D8">
      <w:pPr>
        <w:numPr>
          <w:ilvl w:val="0"/>
          <w:numId w:val="1"/>
        </w:numPr>
        <w:jc w:val="both"/>
        <w:outlineLvl w:val="4"/>
        <w:rPr>
          <w:sz w:val="22"/>
          <w:szCs w:val="22"/>
        </w:rPr>
      </w:pPr>
      <w:r w:rsidRPr="007834D8">
        <w:rPr>
          <w:sz w:val="22"/>
          <w:szCs w:val="22"/>
        </w:rPr>
        <w:t xml:space="preserve">The Oxford Institute for Energy Studies (OIES) is a Recognized Independent Centre of the University of Oxford. It was founded in 1982 as an independent centre for advanced research in the economic and social science aspects of energy.  </w:t>
      </w:r>
      <w:r w:rsidRPr="007834D8">
        <w:rPr>
          <w:sz w:val="22"/>
          <w:szCs w:val="22"/>
          <w:lang w:val="en-US"/>
        </w:rPr>
        <w:t xml:space="preserve">The Institute is committed to achieving the highest academic standards. Oxford University and three of its colleges – St Antony’s, St Catherine’s and Nuffield – are Members of the Institute and occupy seats on the Board of Governors. </w:t>
      </w:r>
    </w:p>
    <w:p w14:paraId="6A2EF6DE" w14:textId="77777777" w:rsidR="00676628" w:rsidRPr="007834D8" w:rsidRDefault="00676628" w:rsidP="007834D8">
      <w:pPr>
        <w:ind w:left="720"/>
        <w:jc w:val="both"/>
        <w:outlineLvl w:val="4"/>
        <w:rPr>
          <w:sz w:val="22"/>
          <w:szCs w:val="22"/>
        </w:rPr>
      </w:pPr>
    </w:p>
    <w:p w14:paraId="26C19823" w14:textId="77777777" w:rsidR="00676628" w:rsidRPr="007834D8" w:rsidRDefault="00676628" w:rsidP="007834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cs="Times New Roman"/>
          <w:sz w:val="22"/>
          <w:szCs w:val="22"/>
        </w:rPr>
      </w:pPr>
      <w:r w:rsidRPr="007834D8">
        <w:rPr>
          <w:rFonts w:ascii="Times New Roman" w:hAnsi="Times New Roman" w:cs="Times New Roman"/>
          <w:sz w:val="22"/>
          <w:szCs w:val="22"/>
        </w:rPr>
        <w:t xml:space="preserve">There are currently 11 core academic staff and a further 14 research staff members engaged in various research projects across the Institute’s Oil, Gas &amp; Electricity Programmes. The Institute has 33 senior research advisors drawn from a variety of backgrounds; industry, academia, journalism and elsewhere. Further information can be found at: </w:t>
      </w:r>
      <w:hyperlink r:id="rId5" w:history="1">
        <w:r w:rsidRPr="007834D8">
          <w:rPr>
            <w:rStyle w:val="Hyperlink"/>
            <w:rFonts w:ascii="Times New Roman" w:eastAsiaTheme="majorEastAsia" w:hAnsi="Times New Roman" w:cs="Times New Roman"/>
            <w:sz w:val="22"/>
            <w:szCs w:val="22"/>
          </w:rPr>
          <w:t>http://www.oxfordenergy.org</w:t>
        </w:r>
      </w:hyperlink>
    </w:p>
    <w:p w14:paraId="6BF6495C" w14:textId="77777777" w:rsidR="00676628" w:rsidRPr="007834D8" w:rsidRDefault="00676628" w:rsidP="007834D8">
      <w:pPr>
        <w:jc w:val="both"/>
        <w:rPr>
          <w:sz w:val="22"/>
          <w:szCs w:val="22"/>
        </w:rPr>
      </w:pPr>
    </w:p>
    <w:p w14:paraId="626935AC" w14:textId="77777777" w:rsidR="00676628" w:rsidRPr="007834D8" w:rsidRDefault="00676628" w:rsidP="007834D8">
      <w:pPr>
        <w:numPr>
          <w:ilvl w:val="0"/>
          <w:numId w:val="1"/>
        </w:numPr>
        <w:jc w:val="both"/>
        <w:rPr>
          <w:sz w:val="22"/>
          <w:szCs w:val="22"/>
        </w:rPr>
      </w:pPr>
      <w:r w:rsidRPr="007834D8">
        <w:rPr>
          <w:sz w:val="22"/>
          <w:szCs w:val="22"/>
        </w:rPr>
        <w:t>The successful applicant will have:</w:t>
      </w:r>
    </w:p>
    <w:p w14:paraId="793CED02" w14:textId="77777777" w:rsidR="00676628" w:rsidRPr="007834D8" w:rsidRDefault="00676628" w:rsidP="007834D8">
      <w:pPr>
        <w:jc w:val="both"/>
        <w:rPr>
          <w:sz w:val="22"/>
          <w:szCs w:val="22"/>
        </w:rPr>
      </w:pPr>
    </w:p>
    <w:p w14:paraId="315D6AA7" w14:textId="77777777" w:rsidR="00676628" w:rsidRPr="007834D8" w:rsidRDefault="00676628" w:rsidP="007834D8">
      <w:pPr>
        <w:pStyle w:val="ListParagraph"/>
        <w:numPr>
          <w:ilvl w:val="0"/>
          <w:numId w:val="2"/>
        </w:numPr>
        <w:ind w:left="1080"/>
        <w:jc w:val="both"/>
        <w:rPr>
          <w:sz w:val="22"/>
          <w:szCs w:val="22"/>
        </w:rPr>
      </w:pPr>
      <w:r w:rsidRPr="007834D8">
        <w:rPr>
          <w:sz w:val="22"/>
          <w:szCs w:val="22"/>
        </w:rPr>
        <w:t>a postgraduate degree, or equivalent experience, with a background in the social sciences (economics, politics or international relations or closely related disciplines)</w:t>
      </w:r>
    </w:p>
    <w:p w14:paraId="67D14522" w14:textId="77777777" w:rsidR="00676628" w:rsidRPr="007834D8" w:rsidRDefault="00676628" w:rsidP="007834D8">
      <w:pPr>
        <w:pStyle w:val="ListParagraph"/>
        <w:numPr>
          <w:ilvl w:val="0"/>
          <w:numId w:val="2"/>
        </w:numPr>
        <w:ind w:left="1080"/>
        <w:jc w:val="both"/>
        <w:rPr>
          <w:sz w:val="22"/>
          <w:szCs w:val="22"/>
        </w:rPr>
      </w:pPr>
      <w:r w:rsidRPr="007834D8">
        <w:rPr>
          <w:sz w:val="22"/>
          <w:szCs w:val="22"/>
        </w:rPr>
        <w:t>a strong interest in energy issues related but not limited to energy policy, energy economics and the political economy of energy in the Gulf Cooperation Council (GCC) states</w:t>
      </w:r>
    </w:p>
    <w:p w14:paraId="62561998" w14:textId="77777777" w:rsidR="00676628" w:rsidRPr="007834D8" w:rsidRDefault="00676628" w:rsidP="007834D8">
      <w:pPr>
        <w:pStyle w:val="ListParagraph"/>
        <w:numPr>
          <w:ilvl w:val="0"/>
          <w:numId w:val="2"/>
        </w:numPr>
        <w:ind w:left="1080"/>
        <w:jc w:val="both"/>
        <w:rPr>
          <w:sz w:val="22"/>
          <w:szCs w:val="22"/>
        </w:rPr>
      </w:pPr>
      <w:r w:rsidRPr="007834D8">
        <w:rPr>
          <w:sz w:val="22"/>
          <w:szCs w:val="22"/>
        </w:rPr>
        <w:t xml:space="preserve">strong analytical skills and the ability to screen research proposals </w:t>
      </w:r>
    </w:p>
    <w:p w14:paraId="1C20B9CF" w14:textId="77777777" w:rsidR="00676628" w:rsidRPr="007834D8" w:rsidRDefault="00676628" w:rsidP="007834D8">
      <w:pPr>
        <w:pStyle w:val="ListParagraph"/>
        <w:numPr>
          <w:ilvl w:val="0"/>
          <w:numId w:val="2"/>
        </w:numPr>
        <w:ind w:left="1080"/>
        <w:jc w:val="both"/>
        <w:rPr>
          <w:sz w:val="22"/>
          <w:szCs w:val="22"/>
        </w:rPr>
      </w:pPr>
      <w:r w:rsidRPr="007834D8">
        <w:rPr>
          <w:sz w:val="22"/>
          <w:szCs w:val="22"/>
        </w:rPr>
        <w:t xml:space="preserve">the ability to work on their own (self-starter) and with a team of established research fellows </w:t>
      </w:r>
    </w:p>
    <w:p w14:paraId="2E84E8A8" w14:textId="77777777" w:rsidR="00676628" w:rsidRPr="007834D8" w:rsidRDefault="00676628" w:rsidP="007834D8">
      <w:pPr>
        <w:pStyle w:val="ListParagraph"/>
        <w:numPr>
          <w:ilvl w:val="0"/>
          <w:numId w:val="2"/>
        </w:numPr>
        <w:ind w:left="1080"/>
        <w:jc w:val="both"/>
        <w:rPr>
          <w:sz w:val="22"/>
          <w:szCs w:val="22"/>
        </w:rPr>
      </w:pPr>
      <w:r w:rsidRPr="007834D8">
        <w:rPr>
          <w:sz w:val="22"/>
          <w:szCs w:val="22"/>
        </w:rPr>
        <w:t>the ability to present OIES research effectively to fellow professionals in academia and industry and other informed members of the public</w:t>
      </w:r>
    </w:p>
    <w:p w14:paraId="3BDE402F" w14:textId="77777777" w:rsidR="00676628" w:rsidRPr="007834D8" w:rsidRDefault="00676628" w:rsidP="007834D8">
      <w:pPr>
        <w:ind w:left="720"/>
        <w:jc w:val="both"/>
        <w:rPr>
          <w:sz w:val="22"/>
          <w:szCs w:val="22"/>
        </w:rPr>
      </w:pPr>
    </w:p>
    <w:p w14:paraId="58512C08" w14:textId="76103097" w:rsidR="00676628" w:rsidRPr="007834D8" w:rsidRDefault="00676628" w:rsidP="007834D8">
      <w:pPr>
        <w:numPr>
          <w:ilvl w:val="0"/>
          <w:numId w:val="1"/>
        </w:numPr>
        <w:jc w:val="both"/>
        <w:rPr>
          <w:sz w:val="22"/>
          <w:szCs w:val="22"/>
        </w:rPr>
      </w:pPr>
      <w:r w:rsidRPr="007834D8">
        <w:rPr>
          <w:sz w:val="22"/>
          <w:szCs w:val="22"/>
          <w:lang w:eastAsia="en-GB"/>
        </w:rPr>
        <w:t>The fellowship covers all areas of energy research</w:t>
      </w:r>
      <w:r w:rsidR="00D1302A">
        <w:rPr>
          <w:sz w:val="22"/>
          <w:szCs w:val="22"/>
          <w:lang w:eastAsia="en-GB"/>
        </w:rPr>
        <w:t xml:space="preserve"> within the GCC states</w:t>
      </w:r>
      <w:r w:rsidRPr="007834D8">
        <w:rPr>
          <w:sz w:val="22"/>
          <w:szCs w:val="22"/>
          <w:lang w:eastAsia="en-GB"/>
        </w:rPr>
        <w:t>, with a focus on energy policy, energy economic</w:t>
      </w:r>
      <w:r w:rsidR="00D1302A">
        <w:rPr>
          <w:sz w:val="22"/>
          <w:szCs w:val="22"/>
          <w:lang w:eastAsia="en-GB"/>
        </w:rPr>
        <w:t>s</w:t>
      </w:r>
      <w:r w:rsidRPr="007834D8">
        <w:rPr>
          <w:sz w:val="22"/>
          <w:szCs w:val="22"/>
          <w:lang w:eastAsia="en-GB"/>
        </w:rPr>
        <w:t xml:space="preserve"> and the political economy of energy, including </w:t>
      </w:r>
      <w:r w:rsidRPr="007834D8">
        <w:rPr>
          <w:sz w:val="22"/>
          <w:szCs w:val="22"/>
          <w:lang w:val="en-US"/>
        </w:rPr>
        <w:t>international relations between producers and consumers of energy; the economic development of producing nations and the geo-political aspects of all these issues alongside the economics and politics of the environment in relation to energy; climate change and sustainable energy sector development, alternative energy options for the GCC (renewables, nuclear power, etc.) and demand-management strategies.</w:t>
      </w:r>
    </w:p>
    <w:p w14:paraId="3D130A65" w14:textId="77777777" w:rsidR="00676628" w:rsidRPr="007834D8" w:rsidRDefault="00676628" w:rsidP="007834D8">
      <w:pPr>
        <w:jc w:val="both"/>
        <w:rPr>
          <w:sz w:val="22"/>
          <w:szCs w:val="22"/>
        </w:rPr>
      </w:pPr>
    </w:p>
    <w:p w14:paraId="1E829637" w14:textId="2A803689" w:rsidR="007834D8" w:rsidRPr="004A502C" w:rsidRDefault="00676628" w:rsidP="007834D8">
      <w:pPr>
        <w:numPr>
          <w:ilvl w:val="0"/>
          <w:numId w:val="1"/>
        </w:numPr>
        <w:rPr>
          <w:sz w:val="22"/>
          <w:szCs w:val="22"/>
        </w:rPr>
      </w:pPr>
      <w:r w:rsidRPr="007834D8">
        <w:rPr>
          <w:sz w:val="22"/>
          <w:szCs w:val="22"/>
          <w:lang w:eastAsia="en-GB"/>
        </w:rPr>
        <w:t>Those appointed are expected to be strong candidates who can demonstrate an academic background sufficient to confirm their ability to complete the proposed programme of research.</w:t>
      </w:r>
      <w:r w:rsidR="007834D8">
        <w:rPr>
          <w:sz w:val="22"/>
          <w:szCs w:val="22"/>
          <w:lang w:eastAsia="en-GB"/>
        </w:rPr>
        <w:t xml:space="preserve"> </w:t>
      </w:r>
      <w:r w:rsidR="004A502C" w:rsidRPr="004A502C">
        <w:rPr>
          <w:rFonts w:eastAsiaTheme="minorEastAsia"/>
          <w:sz w:val="22"/>
          <w:szCs w:val="22"/>
        </w:rPr>
        <w:t xml:space="preserve">We encourage Visiting Research Fellows to participate fully in the research life of the OIES and its multiple research programmes, for instance through attending staff meetings and research seminars run by the Institute and the University of Oxford, and other events related to their research. We also encourage Visiting Fellows to present their own work </w:t>
      </w:r>
      <w:r w:rsidR="002D33ED">
        <w:rPr>
          <w:rFonts w:eastAsiaTheme="minorEastAsia"/>
          <w:sz w:val="22"/>
          <w:szCs w:val="22"/>
        </w:rPr>
        <w:t>at an OIES</w:t>
      </w:r>
      <w:r w:rsidR="00D1302A">
        <w:rPr>
          <w:rFonts w:eastAsiaTheme="minorEastAsia"/>
          <w:sz w:val="22"/>
          <w:szCs w:val="22"/>
        </w:rPr>
        <w:t xml:space="preserve"> seminar if this is practicably possible.</w:t>
      </w:r>
    </w:p>
    <w:p w14:paraId="12C98770" w14:textId="77777777" w:rsidR="007834D8" w:rsidRPr="007834D8" w:rsidRDefault="007834D8" w:rsidP="007834D8">
      <w:pPr>
        <w:rPr>
          <w:sz w:val="22"/>
          <w:szCs w:val="22"/>
          <w:lang w:eastAsia="en-GB"/>
        </w:rPr>
      </w:pPr>
    </w:p>
    <w:p w14:paraId="585D83CA" w14:textId="77777777" w:rsidR="00676628" w:rsidRPr="007834D8" w:rsidRDefault="00676628" w:rsidP="007834D8">
      <w:pPr>
        <w:numPr>
          <w:ilvl w:val="0"/>
          <w:numId w:val="1"/>
        </w:numPr>
        <w:jc w:val="both"/>
        <w:rPr>
          <w:sz w:val="22"/>
          <w:szCs w:val="22"/>
        </w:rPr>
      </w:pPr>
      <w:r w:rsidRPr="007834D8">
        <w:rPr>
          <w:sz w:val="22"/>
          <w:szCs w:val="22"/>
        </w:rPr>
        <w:t>The person appointed will hold the title of Visiting Research Fellow for the duration of their engagement.</w:t>
      </w:r>
    </w:p>
    <w:p w14:paraId="1695CDC1" w14:textId="77777777" w:rsidR="00676628" w:rsidRPr="007834D8" w:rsidRDefault="00676628" w:rsidP="007834D8">
      <w:pPr>
        <w:ind w:left="720"/>
        <w:rPr>
          <w:sz w:val="22"/>
          <w:szCs w:val="22"/>
        </w:rPr>
      </w:pPr>
    </w:p>
    <w:p w14:paraId="4AD346CA" w14:textId="77777777" w:rsidR="005F66D2" w:rsidRDefault="005F66D2" w:rsidP="005F66D2">
      <w:pPr>
        <w:rPr>
          <w:b/>
        </w:rPr>
      </w:pPr>
    </w:p>
    <w:p w14:paraId="0089CE8B" w14:textId="77777777" w:rsidR="005F66D2" w:rsidRDefault="005F66D2" w:rsidP="005F66D2">
      <w:pPr>
        <w:rPr>
          <w:b/>
        </w:rPr>
      </w:pPr>
    </w:p>
    <w:p w14:paraId="6C00152C" w14:textId="77777777" w:rsidR="005F66D2" w:rsidRDefault="005F66D2" w:rsidP="005F66D2">
      <w:pPr>
        <w:rPr>
          <w:b/>
        </w:rPr>
      </w:pPr>
    </w:p>
    <w:p w14:paraId="264F91B8" w14:textId="2AFB9E4B" w:rsidR="005F66D2" w:rsidRPr="008C1A24" w:rsidRDefault="005F66D2" w:rsidP="005F66D2">
      <w:pPr>
        <w:numPr>
          <w:ilvl w:val="0"/>
          <w:numId w:val="1"/>
        </w:numPr>
        <w:rPr>
          <w:sz w:val="22"/>
          <w:szCs w:val="22"/>
        </w:rPr>
      </w:pPr>
      <w:r w:rsidRPr="008C1A24">
        <w:rPr>
          <w:sz w:val="22"/>
          <w:szCs w:val="22"/>
        </w:rPr>
        <w:lastRenderedPageBreak/>
        <w:t xml:space="preserve">Conditions of Visiting Fellowship </w:t>
      </w:r>
    </w:p>
    <w:p w14:paraId="55960D9E" w14:textId="77777777" w:rsidR="005F66D2" w:rsidRPr="008C1A24" w:rsidRDefault="005F66D2" w:rsidP="005F66D2">
      <w:pPr>
        <w:rPr>
          <w:b/>
          <w:sz w:val="22"/>
          <w:szCs w:val="22"/>
        </w:rPr>
      </w:pPr>
    </w:p>
    <w:p w14:paraId="78955510" w14:textId="0B0F6859" w:rsidR="005F66D2" w:rsidRPr="008C1A24" w:rsidRDefault="005F66D2" w:rsidP="005F66D2">
      <w:pPr>
        <w:tabs>
          <w:tab w:val="left" w:pos="576"/>
          <w:tab w:val="left" w:pos="1152"/>
          <w:tab w:val="left" w:pos="1728"/>
          <w:tab w:val="left" w:pos="5760"/>
          <w:tab w:val="right" w:pos="7877"/>
        </w:tabs>
        <w:ind w:left="576"/>
        <w:jc w:val="both"/>
        <w:rPr>
          <w:sz w:val="22"/>
          <w:szCs w:val="22"/>
        </w:rPr>
      </w:pPr>
      <w:r w:rsidRPr="008C1A24">
        <w:rPr>
          <w:sz w:val="22"/>
          <w:szCs w:val="22"/>
        </w:rPr>
        <w:t xml:space="preserve">The Fellowship has a </w:t>
      </w:r>
      <w:r w:rsidR="006E1541">
        <w:rPr>
          <w:sz w:val="22"/>
          <w:szCs w:val="22"/>
        </w:rPr>
        <w:t xml:space="preserve">small </w:t>
      </w:r>
      <w:r w:rsidRPr="008C1A24">
        <w:rPr>
          <w:sz w:val="22"/>
          <w:szCs w:val="22"/>
        </w:rPr>
        <w:t xml:space="preserve">financial award associated with it. The amount of the award is variable and will be discussed with any successful applicant on an individual basis. </w:t>
      </w:r>
    </w:p>
    <w:p w14:paraId="13ED51E2" w14:textId="77777777" w:rsidR="005F66D2" w:rsidRPr="008C1A24" w:rsidRDefault="005F66D2" w:rsidP="005F66D2">
      <w:pPr>
        <w:tabs>
          <w:tab w:val="left" w:pos="576"/>
          <w:tab w:val="left" w:pos="1152"/>
          <w:tab w:val="left" w:pos="1728"/>
          <w:tab w:val="left" w:pos="5760"/>
          <w:tab w:val="right" w:pos="7877"/>
        </w:tabs>
        <w:ind w:left="576"/>
        <w:jc w:val="both"/>
        <w:rPr>
          <w:sz w:val="22"/>
          <w:szCs w:val="22"/>
        </w:rPr>
      </w:pPr>
    </w:p>
    <w:p w14:paraId="126B0360" w14:textId="77777777" w:rsidR="005F66D2" w:rsidRPr="008C1A24" w:rsidRDefault="005F66D2" w:rsidP="005F66D2">
      <w:pPr>
        <w:tabs>
          <w:tab w:val="left" w:pos="576"/>
          <w:tab w:val="left" w:pos="1152"/>
          <w:tab w:val="left" w:pos="1728"/>
          <w:tab w:val="left" w:pos="5760"/>
          <w:tab w:val="right" w:pos="7877"/>
        </w:tabs>
        <w:ind w:left="576"/>
        <w:jc w:val="both"/>
        <w:rPr>
          <w:sz w:val="22"/>
          <w:szCs w:val="22"/>
        </w:rPr>
      </w:pPr>
      <w:r w:rsidRPr="008C1A24">
        <w:rPr>
          <w:sz w:val="22"/>
          <w:szCs w:val="22"/>
        </w:rPr>
        <w:t xml:space="preserve">There will be three awards per academic year. </w:t>
      </w:r>
    </w:p>
    <w:p w14:paraId="2E6D3D29" w14:textId="77777777" w:rsidR="005F66D2" w:rsidRPr="008C1A24" w:rsidRDefault="005F66D2" w:rsidP="005F66D2">
      <w:pPr>
        <w:tabs>
          <w:tab w:val="left" w:pos="576"/>
          <w:tab w:val="left" w:pos="1152"/>
          <w:tab w:val="left" w:pos="1728"/>
          <w:tab w:val="left" w:pos="5760"/>
          <w:tab w:val="right" w:pos="7877"/>
        </w:tabs>
        <w:jc w:val="both"/>
        <w:rPr>
          <w:sz w:val="22"/>
          <w:szCs w:val="22"/>
        </w:rPr>
      </w:pPr>
    </w:p>
    <w:p w14:paraId="2FD02C15" w14:textId="77777777" w:rsidR="005F66D2" w:rsidRPr="008C1A24" w:rsidRDefault="005F66D2" w:rsidP="005F66D2">
      <w:pPr>
        <w:ind w:left="576"/>
        <w:jc w:val="both"/>
        <w:rPr>
          <w:sz w:val="22"/>
          <w:szCs w:val="22"/>
        </w:rPr>
      </w:pPr>
      <w:r w:rsidRPr="008C1A24">
        <w:rPr>
          <w:sz w:val="22"/>
          <w:szCs w:val="22"/>
        </w:rPr>
        <w:t>The appointee will not be considered to be an employee of the Institute for purposes of UK employment law. The Institute will not contribute to pension funds, sick pay or provide other benefits on behalf of the appointee.</w:t>
      </w:r>
    </w:p>
    <w:p w14:paraId="4433BCEE" w14:textId="77777777" w:rsidR="008C1A24" w:rsidRDefault="008C1A24" w:rsidP="005F66D2">
      <w:pPr>
        <w:jc w:val="both"/>
        <w:rPr>
          <w:sz w:val="22"/>
          <w:szCs w:val="22"/>
        </w:rPr>
      </w:pPr>
    </w:p>
    <w:p w14:paraId="0FE3C66A" w14:textId="7FE1756D" w:rsidR="008C1A24" w:rsidRDefault="008C1A24" w:rsidP="008C1A24">
      <w:pPr>
        <w:ind w:left="576"/>
        <w:jc w:val="both"/>
        <w:rPr>
          <w:color w:val="000000"/>
        </w:rPr>
      </w:pPr>
      <w:r>
        <w:rPr>
          <w:color w:val="000000"/>
        </w:rPr>
        <w:t xml:space="preserve">The successful candidate will have access to the library, and will receive desk space at </w:t>
      </w:r>
      <w:proofErr w:type="gramStart"/>
      <w:r>
        <w:rPr>
          <w:color w:val="000000"/>
        </w:rPr>
        <w:t xml:space="preserve">OIES </w:t>
      </w:r>
      <w:proofErr w:type="gramEnd"/>
      <w:r>
        <w:rPr>
          <w:color w:val="000000"/>
        </w:rPr>
        <w:t>and administrative support</w:t>
      </w:r>
      <w:r>
        <w:rPr>
          <w:color w:val="000000"/>
        </w:rPr>
        <w:t>.</w:t>
      </w:r>
      <w:bookmarkStart w:id="0" w:name="_GoBack"/>
      <w:bookmarkEnd w:id="0"/>
    </w:p>
    <w:p w14:paraId="3C52DCE0" w14:textId="77777777" w:rsidR="008C1A24" w:rsidRPr="008C1A24" w:rsidRDefault="008C1A24" w:rsidP="008C1A24">
      <w:pPr>
        <w:ind w:left="576"/>
        <w:jc w:val="both"/>
        <w:rPr>
          <w:sz w:val="22"/>
          <w:szCs w:val="22"/>
        </w:rPr>
      </w:pPr>
    </w:p>
    <w:p w14:paraId="5AD18924" w14:textId="77777777" w:rsidR="005F66D2" w:rsidRPr="008C1A24" w:rsidRDefault="005F66D2" w:rsidP="005F66D2">
      <w:pPr>
        <w:tabs>
          <w:tab w:val="left" w:pos="576"/>
          <w:tab w:val="left" w:pos="1152"/>
          <w:tab w:val="left" w:pos="1728"/>
          <w:tab w:val="left" w:pos="5760"/>
          <w:tab w:val="right" w:pos="7877"/>
        </w:tabs>
        <w:ind w:left="576"/>
        <w:jc w:val="both"/>
        <w:rPr>
          <w:sz w:val="22"/>
          <w:szCs w:val="22"/>
        </w:rPr>
      </w:pPr>
      <w:r w:rsidRPr="008C1A24">
        <w:rPr>
          <w:sz w:val="22"/>
          <w:szCs w:val="22"/>
        </w:rPr>
        <w:t>The appointee does not have to be based in Oxford for the period of the award but is required to travel to Oxford on a regular basis to discuss research progress with their supervisor, as designated by the Oxford Institute for Energy Studies.</w:t>
      </w:r>
    </w:p>
    <w:p w14:paraId="2E26ECB0" w14:textId="77777777" w:rsidR="005F66D2" w:rsidRPr="008C1A24" w:rsidRDefault="005F66D2" w:rsidP="008C1A24">
      <w:pPr>
        <w:pStyle w:val="ListParagraph"/>
        <w:rPr>
          <w:sz w:val="22"/>
          <w:szCs w:val="22"/>
        </w:rPr>
      </w:pPr>
    </w:p>
    <w:p w14:paraId="2652DD94" w14:textId="77777777" w:rsidR="005F66D2" w:rsidRPr="008C1A24" w:rsidRDefault="005F66D2" w:rsidP="008C1A24">
      <w:pPr>
        <w:pStyle w:val="ListParagraph"/>
        <w:rPr>
          <w:sz w:val="22"/>
          <w:szCs w:val="22"/>
          <w:lang w:eastAsia="en-GB"/>
        </w:rPr>
      </w:pPr>
    </w:p>
    <w:p w14:paraId="6CCD964B" w14:textId="39A90710" w:rsidR="00676628" w:rsidRPr="007834D8" w:rsidRDefault="005F66D2" w:rsidP="008C1A24">
      <w:pPr>
        <w:pStyle w:val="ListParagraph"/>
        <w:numPr>
          <w:ilvl w:val="0"/>
          <w:numId w:val="1"/>
        </w:numPr>
        <w:rPr>
          <w:b/>
          <w:sz w:val="22"/>
          <w:szCs w:val="22"/>
        </w:rPr>
      </w:pPr>
      <w:r w:rsidRPr="008C1A24">
        <w:rPr>
          <w:sz w:val="22"/>
          <w:szCs w:val="22"/>
          <w:lang w:eastAsia="en-GB"/>
        </w:rPr>
        <w:t xml:space="preserve">The </w:t>
      </w:r>
      <w:r w:rsidR="006E1541">
        <w:rPr>
          <w:sz w:val="22"/>
          <w:szCs w:val="22"/>
          <w:lang w:eastAsia="en-GB"/>
        </w:rPr>
        <w:t>appointee</w:t>
      </w:r>
      <w:r w:rsidRPr="008C1A24">
        <w:rPr>
          <w:sz w:val="22"/>
          <w:szCs w:val="22"/>
          <w:lang w:eastAsia="en-GB"/>
        </w:rPr>
        <w:t xml:space="preserve"> must have a visa that covers the period of the Fellowship and is appropriate to their participation in the Fellowship.</w:t>
      </w:r>
    </w:p>
    <w:p w14:paraId="29C72C40" w14:textId="77777777" w:rsidR="00676628" w:rsidRPr="007834D8" w:rsidRDefault="00676628" w:rsidP="007834D8">
      <w:pPr>
        <w:pStyle w:val="BodyText"/>
        <w:ind w:left="576"/>
        <w:jc w:val="both"/>
        <w:rPr>
          <w:rFonts w:ascii="Times New Roman" w:hAnsi="Times New Roman"/>
          <w:sz w:val="22"/>
          <w:szCs w:val="22"/>
        </w:rPr>
      </w:pPr>
    </w:p>
    <w:p w14:paraId="56027999" w14:textId="77777777" w:rsidR="00676628" w:rsidRPr="007834D8" w:rsidRDefault="00676628" w:rsidP="007834D8">
      <w:pPr>
        <w:rPr>
          <w:b/>
          <w:sz w:val="22"/>
          <w:szCs w:val="22"/>
        </w:rPr>
      </w:pPr>
    </w:p>
    <w:p w14:paraId="37FFCF74" w14:textId="77777777" w:rsidR="00676628" w:rsidRPr="007834D8" w:rsidRDefault="00676628" w:rsidP="007834D8">
      <w:pPr>
        <w:rPr>
          <w:b/>
          <w:sz w:val="22"/>
          <w:szCs w:val="22"/>
        </w:rPr>
      </w:pPr>
      <w:r w:rsidRPr="007834D8">
        <w:rPr>
          <w:b/>
          <w:sz w:val="22"/>
          <w:szCs w:val="22"/>
        </w:rPr>
        <w:t>How to apply</w:t>
      </w:r>
    </w:p>
    <w:p w14:paraId="6BC66C0E" w14:textId="77777777" w:rsidR="00676628" w:rsidRPr="007834D8" w:rsidRDefault="00676628" w:rsidP="007834D8">
      <w:pPr>
        <w:pStyle w:val="BodyText"/>
        <w:rPr>
          <w:rFonts w:ascii="Times New Roman" w:hAnsi="Times New Roman"/>
          <w:sz w:val="22"/>
          <w:szCs w:val="22"/>
        </w:rPr>
      </w:pPr>
    </w:p>
    <w:p w14:paraId="362C49E6"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Applications, with a detailed curriculum vitae, a covering letter, which addresses the selection criteria, and names and contact details of two referees (please see below), should be sent to:</w:t>
      </w:r>
    </w:p>
    <w:p w14:paraId="5C1BDD49" w14:textId="77777777" w:rsidR="00676628" w:rsidRPr="007834D8" w:rsidRDefault="00676628" w:rsidP="007834D8">
      <w:pPr>
        <w:pStyle w:val="level1"/>
        <w:tabs>
          <w:tab w:val="clear" w:pos="720"/>
          <w:tab w:val="left" w:pos="0"/>
        </w:tabs>
        <w:ind w:left="0" w:firstLine="0"/>
        <w:rPr>
          <w:sz w:val="22"/>
          <w:szCs w:val="22"/>
        </w:rPr>
      </w:pPr>
    </w:p>
    <w:p w14:paraId="34052677"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The Administrator</w:t>
      </w:r>
    </w:p>
    <w:p w14:paraId="44A1811E"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Oxford Institute for Energy Studies</w:t>
      </w:r>
    </w:p>
    <w:p w14:paraId="02E3263B"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57 Woodstock Road</w:t>
      </w:r>
    </w:p>
    <w:p w14:paraId="5F3E601A"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Oxford, OX2 6FA</w:t>
      </w:r>
    </w:p>
    <w:p w14:paraId="76F9A7E7" w14:textId="5299FC42" w:rsidR="00676628" w:rsidRDefault="00676628" w:rsidP="007834D8">
      <w:pPr>
        <w:pStyle w:val="level1"/>
        <w:tabs>
          <w:tab w:val="clear" w:pos="720"/>
          <w:tab w:val="left" w:pos="0"/>
        </w:tabs>
        <w:ind w:left="0" w:firstLine="0"/>
        <w:rPr>
          <w:sz w:val="22"/>
          <w:szCs w:val="22"/>
        </w:rPr>
      </w:pPr>
      <w:r w:rsidRPr="007834D8">
        <w:rPr>
          <w:sz w:val="22"/>
          <w:szCs w:val="22"/>
        </w:rPr>
        <w:t xml:space="preserve">Email </w:t>
      </w:r>
      <w:hyperlink r:id="rId6" w:history="1">
        <w:r w:rsidR="005F66D2" w:rsidRPr="006F00D6">
          <w:rPr>
            <w:rStyle w:val="Hyperlink"/>
            <w:sz w:val="22"/>
            <w:szCs w:val="22"/>
          </w:rPr>
          <w:t>kate.teasdale@oxfordenergy.org</w:t>
        </w:r>
      </w:hyperlink>
      <w:r w:rsidRPr="007834D8">
        <w:rPr>
          <w:sz w:val="22"/>
          <w:szCs w:val="22"/>
        </w:rPr>
        <w:t xml:space="preserve"> </w:t>
      </w:r>
    </w:p>
    <w:p w14:paraId="35A81D0D" w14:textId="77777777" w:rsidR="005F66D2" w:rsidRPr="007834D8" w:rsidRDefault="005F66D2" w:rsidP="007834D8">
      <w:pPr>
        <w:pStyle w:val="level1"/>
        <w:tabs>
          <w:tab w:val="clear" w:pos="720"/>
          <w:tab w:val="left" w:pos="0"/>
        </w:tabs>
        <w:ind w:left="0" w:firstLine="0"/>
        <w:rPr>
          <w:sz w:val="22"/>
          <w:szCs w:val="22"/>
        </w:rPr>
      </w:pPr>
    </w:p>
    <w:p w14:paraId="62AB2D52" w14:textId="77777777" w:rsidR="00676628" w:rsidRPr="007834D8" w:rsidRDefault="00676628" w:rsidP="007834D8">
      <w:pPr>
        <w:pStyle w:val="level1"/>
        <w:tabs>
          <w:tab w:val="clear" w:pos="720"/>
          <w:tab w:val="left" w:pos="0"/>
        </w:tabs>
        <w:ind w:left="0" w:firstLine="0"/>
        <w:rPr>
          <w:sz w:val="22"/>
          <w:szCs w:val="22"/>
        </w:rPr>
      </w:pPr>
      <w:r w:rsidRPr="007834D8">
        <w:rPr>
          <w:b/>
          <w:sz w:val="22"/>
          <w:szCs w:val="22"/>
        </w:rPr>
        <w:t>Please do not send reference letters or any additional documents, other than the requested material, with your initial application.</w:t>
      </w:r>
      <w:r w:rsidRPr="007834D8">
        <w:rPr>
          <w:sz w:val="22"/>
          <w:szCs w:val="22"/>
        </w:rPr>
        <w:t xml:space="preserve">  </w:t>
      </w:r>
    </w:p>
    <w:p w14:paraId="5BF68BE9" w14:textId="77777777" w:rsidR="00676628" w:rsidRPr="007834D8" w:rsidRDefault="00676628" w:rsidP="007834D8">
      <w:pPr>
        <w:pStyle w:val="level1"/>
        <w:tabs>
          <w:tab w:val="clear" w:pos="720"/>
          <w:tab w:val="left" w:pos="0"/>
        </w:tabs>
        <w:ind w:left="0" w:firstLine="0"/>
        <w:rPr>
          <w:sz w:val="22"/>
          <w:szCs w:val="22"/>
        </w:rPr>
      </w:pPr>
    </w:p>
    <w:p w14:paraId="1C6263C8" w14:textId="77777777" w:rsidR="00676628" w:rsidRPr="007834D8" w:rsidRDefault="00676628" w:rsidP="007834D8">
      <w:pPr>
        <w:pStyle w:val="level1"/>
        <w:tabs>
          <w:tab w:val="clear" w:pos="720"/>
          <w:tab w:val="left" w:pos="0"/>
        </w:tabs>
        <w:ind w:left="0" w:firstLine="0"/>
        <w:rPr>
          <w:sz w:val="22"/>
          <w:szCs w:val="22"/>
        </w:rPr>
      </w:pPr>
      <w:r w:rsidRPr="007834D8">
        <w:rPr>
          <w:sz w:val="22"/>
          <w:szCs w:val="22"/>
        </w:rPr>
        <w:t>Email applications are acceptable (please send these to the address above).  There is no need to send a hard copy in addition to an email application.</w:t>
      </w:r>
    </w:p>
    <w:p w14:paraId="059AA5FC" w14:textId="77777777" w:rsidR="00676628" w:rsidRPr="007834D8" w:rsidRDefault="00676628" w:rsidP="007834D8">
      <w:pPr>
        <w:pStyle w:val="level1"/>
        <w:tabs>
          <w:tab w:val="clear" w:pos="720"/>
          <w:tab w:val="left" w:pos="0"/>
        </w:tabs>
        <w:ind w:left="0" w:firstLine="0"/>
        <w:rPr>
          <w:sz w:val="22"/>
          <w:szCs w:val="22"/>
        </w:rPr>
      </w:pPr>
    </w:p>
    <w:p w14:paraId="18DE5C1D" w14:textId="72AB97B8" w:rsidR="00676628" w:rsidRPr="007834D8" w:rsidRDefault="006E1541" w:rsidP="007834D8">
      <w:pPr>
        <w:pStyle w:val="level1"/>
        <w:tabs>
          <w:tab w:val="clear" w:pos="720"/>
          <w:tab w:val="left" w:pos="0"/>
        </w:tabs>
        <w:ind w:left="0" w:firstLine="0"/>
        <w:rPr>
          <w:b/>
          <w:color w:val="FF0000"/>
          <w:sz w:val="22"/>
          <w:szCs w:val="22"/>
        </w:rPr>
      </w:pPr>
      <w:r>
        <w:rPr>
          <w:sz w:val="22"/>
          <w:szCs w:val="22"/>
        </w:rPr>
        <w:t>There is no closing date for applications.</w:t>
      </w:r>
    </w:p>
    <w:p w14:paraId="2580746B" w14:textId="77777777" w:rsidR="00676628" w:rsidRPr="007834D8" w:rsidRDefault="00676628" w:rsidP="007834D8">
      <w:pPr>
        <w:pStyle w:val="level1"/>
        <w:tabs>
          <w:tab w:val="clear" w:pos="720"/>
          <w:tab w:val="left" w:pos="0"/>
        </w:tabs>
        <w:ind w:left="0" w:firstLine="0"/>
        <w:rPr>
          <w:sz w:val="22"/>
          <w:szCs w:val="22"/>
        </w:rPr>
      </w:pPr>
    </w:p>
    <w:p w14:paraId="0C56237B" w14:textId="4F335C50" w:rsidR="00676628" w:rsidRPr="007834D8" w:rsidRDefault="00676628" w:rsidP="00F42A0D">
      <w:pPr>
        <w:pStyle w:val="level1"/>
        <w:tabs>
          <w:tab w:val="clear" w:pos="720"/>
          <w:tab w:val="left" w:pos="0"/>
        </w:tabs>
        <w:ind w:left="0" w:firstLine="0"/>
        <w:rPr>
          <w:sz w:val="22"/>
          <w:szCs w:val="22"/>
        </w:rPr>
      </w:pPr>
      <w:r w:rsidRPr="007834D8">
        <w:rPr>
          <w:sz w:val="22"/>
          <w:szCs w:val="22"/>
        </w:rPr>
        <w:t xml:space="preserve">Applicants should include their daytime telephone number and the names and addresses of two persons to whom reference may be made. At least one of those named as a referee should have direct experience of the candidate’s work, either as an academic adviser, a manager or through a sustained period of professional interaction.  It would be helpful if candidates could indicate the capacity in which their referees have gained knowledge of their work.  </w:t>
      </w:r>
      <w:r w:rsidRPr="007834D8">
        <w:rPr>
          <w:sz w:val="22"/>
          <w:szCs w:val="22"/>
        </w:rPr>
        <w:tab/>
      </w:r>
    </w:p>
    <w:p w14:paraId="7A371C6F" w14:textId="7D19C0D6" w:rsidR="00676628" w:rsidRPr="007834D8" w:rsidRDefault="00676628" w:rsidP="00F42A0D">
      <w:pPr>
        <w:pStyle w:val="Heading2"/>
        <w:rPr>
          <w:sz w:val="22"/>
          <w:szCs w:val="22"/>
        </w:rPr>
      </w:pPr>
      <w:r w:rsidRPr="00F42A0D">
        <w:rPr>
          <w:sz w:val="22"/>
          <w:szCs w:val="22"/>
        </w:rPr>
        <w:t>Equal Opportunities Statement</w:t>
      </w:r>
    </w:p>
    <w:p w14:paraId="608C2946" w14:textId="2602AEC4" w:rsidR="00676628" w:rsidRPr="00F42A0D" w:rsidRDefault="00676628" w:rsidP="007834D8">
      <w:pPr>
        <w:jc w:val="both"/>
        <w:rPr>
          <w:sz w:val="22"/>
          <w:szCs w:val="22"/>
        </w:rPr>
      </w:pPr>
      <w:r w:rsidRPr="007834D8">
        <w:rPr>
          <w:sz w:val="22"/>
          <w:szCs w:val="22"/>
        </w:rPr>
        <w:t>As an Equal Opportunity employer, we positively encourage applications from people of different backgrounds.  All our jobs are filled in line with our equal opportunities code of practice, which helps us make sure that men and women, people of different religions or beliefs, racial groups, and those with disabilities are all treated fairly.</w:t>
      </w:r>
    </w:p>
    <w:p w14:paraId="4A4583CC" w14:textId="336321F0" w:rsidR="00676628" w:rsidRPr="00F42A0D" w:rsidRDefault="00676628" w:rsidP="00F42A0D">
      <w:pPr>
        <w:pStyle w:val="Heading2"/>
        <w:rPr>
          <w:sz w:val="22"/>
          <w:szCs w:val="22"/>
        </w:rPr>
      </w:pPr>
      <w:r w:rsidRPr="00F42A0D">
        <w:rPr>
          <w:sz w:val="22"/>
          <w:szCs w:val="22"/>
        </w:rPr>
        <w:lastRenderedPageBreak/>
        <w:t>Policy Statement</w:t>
      </w:r>
    </w:p>
    <w:p w14:paraId="4AAB3B61" w14:textId="4FF755CA" w:rsidR="00676628" w:rsidRDefault="00676628" w:rsidP="00F42A0D">
      <w:pPr>
        <w:jc w:val="both"/>
        <w:rPr>
          <w:sz w:val="22"/>
          <w:szCs w:val="22"/>
        </w:rPr>
      </w:pPr>
      <w:r w:rsidRPr="007834D8">
        <w:rPr>
          <w:sz w:val="22"/>
          <w:szCs w:val="22"/>
        </w:rPr>
        <w:t>The policy and practice of OIES require that all staff are afforded equal opportunities within employment and that entry into employment with OIES and progression within employment will be determined only by personal merit and the application of criteria which are related to the duties of each particular post and the relevant salary structure.  In all cases, ability to perform the job will be the primary consideration.  Subject to statutory provisions, no applicant or member of staff will be treated less favourably than another because of his or her sex, marital or civil partnership status, sexual orientation, religion or belief, racial group, or disability.</w:t>
      </w:r>
    </w:p>
    <w:p w14:paraId="675E6A7B" w14:textId="77777777" w:rsidR="00F42A0D" w:rsidRPr="00F42A0D" w:rsidRDefault="00F42A0D" w:rsidP="00F42A0D">
      <w:pPr>
        <w:jc w:val="both"/>
        <w:rPr>
          <w:sz w:val="22"/>
          <w:szCs w:val="22"/>
        </w:rPr>
      </w:pPr>
    </w:p>
    <w:p w14:paraId="49412696" w14:textId="2C27E054" w:rsidR="00676628" w:rsidRPr="00F42A0D" w:rsidRDefault="00F42A0D" w:rsidP="00F42A0D">
      <w:pPr>
        <w:pStyle w:val="Heading2"/>
        <w:rPr>
          <w:sz w:val="22"/>
          <w:szCs w:val="22"/>
        </w:rPr>
      </w:pPr>
      <w:r w:rsidRPr="00F42A0D">
        <w:rPr>
          <w:sz w:val="22"/>
          <w:szCs w:val="22"/>
        </w:rPr>
        <w:t>Da</w:t>
      </w:r>
      <w:r w:rsidR="00676628" w:rsidRPr="00F42A0D">
        <w:rPr>
          <w:sz w:val="22"/>
          <w:szCs w:val="22"/>
        </w:rPr>
        <w:t>ta protection</w:t>
      </w:r>
    </w:p>
    <w:p w14:paraId="637229E6" w14:textId="77777777" w:rsidR="00676628" w:rsidRPr="007834D8" w:rsidRDefault="00676628" w:rsidP="007834D8">
      <w:pPr>
        <w:jc w:val="both"/>
        <w:rPr>
          <w:sz w:val="22"/>
          <w:szCs w:val="22"/>
        </w:rPr>
      </w:pPr>
      <w:r w:rsidRPr="007834D8">
        <w:rPr>
          <w:sz w:val="22"/>
          <w:szCs w:val="22"/>
        </w:rPr>
        <w:t>OIES reserves the right to screen individuals for employment. Any such screening would be discussed with an individual in advance of it taking place.</w:t>
      </w:r>
    </w:p>
    <w:p w14:paraId="2DBE3B7E" w14:textId="77777777" w:rsidR="00676628" w:rsidRPr="007834D8" w:rsidRDefault="00676628" w:rsidP="007834D8">
      <w:pPr>
        <w:tabs>
          <w:tab w:val="left" w:pos="576"/>
          <w:tab w:val="left" w:pos="1152"/>
          <w:tab w:val="left" w:pos="1728"/>
          <w:tab w:val="left" w:pos="5760"/>
          <w:tab w:val="right" w:pos="7877"/>
        </w:tabs>
        <w:jc w:val="both"/>
        <w:rPr>
          <w:sz w:val="22"/>
          <w:szCs w:val="22"/>
        </w:rPr>
      </w:pPr>
    </w:p>
    <w:p w14:paraId="75FD0991" w14:textId="77777777" w:rsidR="00676628" w:rsidRPr="007834D8" w:rsidRDefault="00676628" w:rsidP="007834D8">
      <w:pPr>
        <w:tabs>
          <w:tab w:val="left" w:pos="576"/>
          <w:tab w:val="left" w:pos="1152"/>
          <w:tab w:val="left" w:pos="1728"/>
          <w:tab w:val="left" w:pos="5760"/>
          <w:tab w:val="right" w:pos="7877"/>
        </w:tabs>
        <w:jc w:val="both"/>
        <w:rPr>
          <w:sz w:val="22"/>
          <w:szCs w:val="22"/>
        </w:rPr>
      </w:pPr>
      <w:r w:rsidRPr="007834D8">
        <w:rPr>
          <w:sz w:val="22"/>
          <w:szCs w:val="22"/>
        </w:rPr>
        <w:t>All data supplied by applicants will be used only for the purposes of determining their suitability for the post, and will be held in accordance with the principles of the Data Protection Act 1998.</w:t>
      </w:r>
    </w:p>
    <w:p w14:paraId="46E78170" w14:textId="77777777" w:rsidR="00676628" w:rsidRPr="007834D8" w:rsidRDefault="00676628" w:rsidP="007834D8">
      <w:pPr>
        <w:jc w:val="both"/>
        <w:rPr>
          <w:sz w:val="22"/>
          <w:szCs w:val="22"/>
        </w:rPr>
      </w:pPr>
    </w:p>
    <w:p w14:paraId="3A5D6F1E" w14:textId="77777777" w:rsidR="00676628" w:rsidRPr="007834D8" w:rsidRDefault="00676628" w:rsidP="007834D8">
      <w:pPr>
        <w:pStyle w:val="BodyText"/>
        <w:jc w:val="both"/>
        <w:rPr>
          <w:rFonts w:ascii="Times New Roman" w:hAnsi="Times New Roman"/>
          <w:sz w:val="22"/>
          <w:szCs w:val="22"/>
        </w:rPr>
      </w:pPr>
      <w:r w:rsidRPr="007834D8">
        <w:rPr>
          <w:rFonts w:ascii="Times New Roman" w:hAnsi="Times New Roman"/>
          <w:sz w:val="22"/>
          <w:szCs w:val="22"/>
        </w:rPr>
        <w:t>The Institute operates a no-smoking policy in all its buildings.</w:t>
      </w:r>
    </w:p>
    <w:p w14:paraId="2D7CAC0A" w14:textId="77777777" w:rsidR="008C3DED" w:rsidRPr="007834D8" w:rsidRDefault="008C3DED" w:rsidP="007834D8">
      <w:pPr>
        <w:rPr>
          <w:sz w:val="22"/>
          <w:szCs w:val="22"/>
        </w:rPr>
      </w:pPr>
    </w:p>
    <w:sectPr w:rsidR="008C3DED" w:rsidRPr="00783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2A4B"/>
    <w:multiLevelType w:val="hybridMultilevel"/>
    <w:tmpl w:val="1F7C3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5D3096"/>
    <w:multiLevelType w:val="hybridMultilevel"/>
    <w:tmpl w:val="B2FE6B1E"/>
    <w:lvl w:ilvl="0" w:tplc="C4E41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28"/>
    <w:rsid w:val="002D33ED"/>
    <w:rsid w:val="004A502C"/>
    <w:rsid w:val="005F66D2"/>
    <w:rsid w:val="00676628"/>
    <w:rsid w:val="00682264"/>
    <w:rsid w:val="006A6801"/>
    <w:rsid w:val="006E1541"/>
    <w:rsid w:val="007834D8"/>
    <w:rsid w:val="008C1A24"/>
    <w:rsid w:val="008C3DED"/>
    <w:rsid w:val="009D590A"/>
    <w:rsid w:val="00D1302A"/>
    <w:rsid w:val="00F4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E94D5"/>
  <w14:defaultImageDpi w14:val="300"/>
  <w15:docId w15:val="{16593701-65B0-4867-9D68-534EE7BD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28"/>
    <w:rPr>
      <w:rFonts w:ascii="Times New Roman" w:eastAsia="Times New Roman" w:hAnsi="Times New Roman" w:cs="Times New Roman"/>
      <w:szCs w:val="20"/>
      <w:lang w:val="en-GB"/>
    </w:rPr>
  </w:style>
  <w:style w:type="paragraph" w:styleId="Heading1">
    <w:name w:val="heading 1"/>
    <w:aliases w:val="Heading 1-Simple"/>
    <w:basedOn w:val="Normal"/>
    <w:next w:val="Normal"/>
    <w:link w:val="Heading1Char"/>
    <w:uiPriority w:val="9"/>
    <w:qFormat/>
    <w:rsid w:val="006A6801"/>
    <w:pPr>
      <w:keepNext/>
      <w:keepLines/>
      <w:spacing w:before="240" w:after="240"/>
      <w:outlineLvl w:val="0"/>
    </w:pPr>
    <w:rPr>
      <w:rFonts w:eastAsiaTheme="majorEastAsia" w:cstheme="majorBidi"/>
      <w:b/>
      <w:bCs/>
      <w:szCs w:val="32"/>
    </w:rPr>
  </w:style>
  <w:style w:type="paragraph" w:styleId="Heading2">
    <w:name w:val="heading 2"/>
    <w:aliases w:val="Heading 2 - Simple"/>
    <w:basedOn w:val="Normal"/>
    <w:next w:val="Normal"/>
    <w:link w:val="Heading2Char"/>
    <w:uiPriority w:val="9"/>
    <w:unhideWhenUsed/>
    <w:qFormat/>
    <w:rsid w:val="006A6801"/>
    <w:pPr>
      <w:keepNext/>
      <w:keepLines/>
      <w:spacing w:before="240" w:after="24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imple Char"/>
    <w:basedOn w:val="DefaultParagraphFont"/>
    <w:link w:val="Heading1"/>
    <w:uiPriority w:val="9"/>
    <w:rsid w:val="006A6801"/>
    <w:rPr>
      <w:rFonts w:ascii="Times New Roman" w:eastAsiaTheme="majorEastAsia" w:hAnsi="Times New Roman" w:cstheme="majorBidi"/>
      <w:b/>
      <w:bCs/>
      <w:sz w:val="22"/>
      <w:szCs w:val="32"/>
      <w:lang w:val="en-GB"/>
    </w:rPr>
  </w:style>
  <w:style w:type="character" w:customStyle="1" w:styleId="Heading2Char">
    <w:name w:val="Heading 2 Char"/>
    <w:aliases w:val="Heading 2 - Simple Char"/>
    <w:basedOn w:val="DefaultParagraphFont"/>
    <w:link w:val="Heading2"/>
    <w:uiPriority w:val="9"/>
    <w:rsid w:val="006A6801"/>
    <w:rPr>
      <w:rFonts w:ascii="Times New Roman" w:eastAsiaTheme="majorEastAsia" w:hAnsi="Times New Roman" w:cstheme="majorBidi"/>
      <w:bCs/>
      <w:i/>
      <w:sz w:val="22"/>
      <w:szCs w:val="26"/>
      <w:lang w:val="en-GB"/>
    </w:rPr>
  </w:style>
  <w:style w:type="character" w:styleId="Hyperlink">
    <w:name w:val="Hyperlink"/>
    <w:basedOn w:val="DefaultParagraphFont"/>
    <w:rsid w:val="00676628"/>
    <w:rPr>
      <w:color w:val="0000FF"/>
      <w:u w:val="single"/>
    </w:rPr>
  </w:style>
  <w:style w:type="paragraph" w:customStyle="1" w:styleId="level1">
    <w:name w:val="_level1"/>
    <w:rsid w:val="00676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Times New Roman" w:eastAsia="Times New Roman" w:hAnsi="Times New Roman" w:cs="Times New Roman"/>
      <w:snapToGrid w:val="0"/>
      <w:szCs w:val="20"/>
      <w:lang w:val="en-GB"/>
    </w:rPr>
  </w:style>
  <w:style w:type="paragraph" w:styleId="HTMLPreformatted">
    <w:name w:val="HTML Preformatted"/>
    <w:basedOn w:val="Normal"/>
    <w:link w:val="HTMLPreformattedChar"/>
    <w:rsid w:val="0067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rsid w:val="00676628"/>
    <w:rPr>
      <w:rFonts w:ascii="Courier New" w:eastAsia="Times New Roman" w:hAnsi="Courier New" w:cs="Courier New"/>
      <w:sz w:val="20"/>
      <w:szCs w:val="20"/>
      <w:lang w:val="en-GB" w:eastAsia="en-GB"/>
    </w:rPr>
  </w:style>
  <w:style w:type="paragraph" w:styleId="BodyText">
    <w:name w:val="Body Text"/>
    <w:basedOn w:val="Normal"/>
    <w:link w:val="BodyTextChar"/>
    <w:rsid w:val="00676628"/>
    <w:rPr>
      <w:rFonts w:ascii="Arial" w:hAnsi="Arial"/>
      <w:sz w:val="20"/>
    </w:rPr>
  </w:style>
  <w:style w:type="character" w:customStyle="1" w:styleId="BodyTextChar">
    <w:name w:val="Body Text Char"/>
    <w:basedOn w:val="DefaultParagraphFont"/>
    <w:link w:val="BodyText"/>
    <w:rsid w:val="00676628"/>
    <w:rPr>
      <w:rFonts w:ascii="Arial" w:eastAsia="Times New Roman" w:hAnsi="Arial" w:cs="Times New Roman"/>
      <w:sz w:val="20"/>
      <w:szCs w:val="20"/>
      <w:lang w:val="en-GB"/>
    </w:rPr>
  </w:style>
  <w:style w:type="paragraph" w:styleId="ListParagraph">
    <w:name w:val="List Paragraph"/>
    <w:basedOn w:val="Normal"/>
    <w:uiPriority w:val="34"/>
    <w:qFormat/>
    <w:rsid w:val="00676628"/>
    <w:pPr>
      <w:ind w:left="720"/>
      <w:contextualSpacing/>
    </w:pPr>
  </w:style>
  <w:style w:type="paragraph" w:styleId="Revision">
    <w:name w:val="Revision"/>
    <w:hidden/>
    <w:uiPriority w:val="99"/>
    <w:semiHidden/>
    <w:rsid w:val="00D1302A"/>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D13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02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teasdale@oxfordenergy.org" TargetMode="External"/><Relationship Id="rId5" Type="http://schemas.openxmlformats.org/officeDocument/2006/relationships/hyperlink" Target="http://www.oxfordener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Institute for Energy Studies</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El-Katiri</dc:creator>
  <cp:keywords/>
  <dc:description/>
  <cp:lastModifiedBy>Kate Teasdale</cp:lastModifiedBy>
  <cp:revision>5</cp:revision>
  <dcterms:created xsi:type="dcterms:W3CDTF">2015-05-12T09:43:00Z</dcterms:created>
  <dcterms:modified xsi:type="dcterms:W3CDTF">2015-06-22T10:57:00Z</dcterms:modified>
</cp:coreProperties>
</file>